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120" w:after="240"/>
        <w:ind w:firstLine="720"/>
        <w:jc w:val="both"/>
        <w:rPr>
          <w:rFonts w:ascii="Arial" w:hAnsi="Arial"/>
          <w:sz w:val="22"/>
        </w:rPr>
      </w:pPr>
      <w:r>
        <w:rPr>
          <w:rFonts w:ascii="Arial" w:hAnsi="Arial"/>
          <w:sz w:val="22"/>
        </w:rPr>
        <w:t>Vytápění objektu je navrženo teplovodní s nuceným oběhem topné vody. Navrhováno je vytápění otopnými tělesy s teplotním spádem 60/45 °C. Zdrojem tepla pro vytápění objektu je vlastní kondenzační kotel na zemní plyn. Jedná se o třípodlažní dům.</w:t>
      </w:r>
    </w:p>
    <w:p>
      <w:pPr>
        <w:pStyle w:val="Normal"/>
        <w:spacing w:before="120" w:after="0"/>
        <w:ind w:firstLine="720"/>
        <w:jc w:val="both"/>
        <w:rPr>
          <w:rFonts w:ascii="Arial" w:hAnsi="Arial" w:cs="Arial"/>
          <w:sz w:val="22"/>
          <w:szCs w:val="22"/>
        </w:rPr>
      </w:pPr>
      <w:r>
        <w:rPr>
          <w:rFonts w:cs="Arial" w:ascii="Arial" w:hAnsi="Arial"/>
          <w:sz w:val="22"/>
          <w:szCs w:val="22"/>
        </w:rPr>
        <w:t>Tepelný výkon byl vypočten dle ČSN EN 12831 a činí:</w:t>
      </w:r>
    </w:p>
    <w:p>
      <w:pPr>
        <w:pStyle w:val="Normal"/>
        <w:spacing w:before="120" w:after="0"/>
        <w:ind w:left="720" w:firstLine="720"/>
        <w:jc w:val="both"/>
        <w:rPr>
          <w:rFonts w:ascii="Arial" w:hAnsi="Arial"/>
          <w:sz w:val="22"/>
        </w:rPr>
      </w:pPr>
      <w:r>
        <w:rPr>
          <w:rFonts w:ascii="Arial" w:hAnsi="Arial"/>
          <w:sz w:val="22"/>
        </w:rPr>
        <w:t>Celková tepelná ztráta</w:t>
        <w:tab/>
        <w:tab/>
      </w:r>
      <w:r>
        <w:rPr>
          <w:rFonts w:ascii="Arial" w:hAnsi="Arial"/>
          <w:b/>
          <w:sz w:val="22"/>
        </w:rPr>
        <w:t>Q</w:t>
      </w:r>
      <w:r>
        <w:rPr>
          <w:rFonts w:ascii="Arial" w:hAnsi="Arial"/>
          <w:b/>
          <w:sz w:val="22"/>
          <w:vertAlign w:val="subscript"/>
        </w:rPr>
        <w:t>ut</w:t>
      </w:r>
      <w:r>
        <w:rPr>
          <w:rFonts w:ascii="Arial" w:hAnsi="Arial"/>
          <w:b/>
          <w:sz w:val="22"/>
        </w:rPr>
        <w:tab/>
        <w:tab/>
        <w:t>12,9 kW</w:t>
      </w:r>
    </w:p>
    <w:p>
      <w:pPr>
        <w:pStyle w:val="Normal"/>
        <w:spacing w:before="120" w:after="0"/>
        <w:jc w:val="both"/>
        <w:rPr>
          <w:rFonts w:ascii="Arial" w:hAnsi="Arial"/>
          <w:sz w:val="22"/>
        </w:rPr>
      </w:pPr>
      <w:r>
        <w:rPr>
          <w:rFonts w:ascii="Arial" w:hAnsi="Arial"/>
          <w:sz w:val="22"/>
        </w:rPr>
        <w:tab/>
        <w:tab/>
        <w:tab/>
        <w:t>z toho ztráta prostupem</w:t>
        <w:tab/>
        <w:tab/>
        <w:tab/>
        <w:t>7,5 kW</w:t>
      </w:r>
    </w:p>
    <w:p>
      <w:pPr>
        <w:pStyle w:val="Normal"/>
        <w:spacing w:before="120" w:after="0"/>
        <w:ind w:left="1440" w:firstLine="720"/>
        <w:jc w:val="both"/>
        <w:rPr>
          <w:rFonts w:ascii="Arial" w:hAnsi="Arial"/>
          <w:sz w:val="22"/>
        </w:rPr>
      </w:pPr>
      <w:r>
        <w:rPr>
          <w:rFonts w:ascii="Arial" w:hAnsi="Arial"/>
          <w:sz w:val="22"/>
        </w:rPr>
        <w:t>ztráta větráním</w:t>
        <w:tab/>
        <w:tab/>
        <w:tab/>
        <w:tab/>
        <w:t xml:space="preserve">4,5 kW </w:t>
      </w:r>
    </w:p>
    <w:p>
      <w:pPr>
        <w:pStyle w:val="Normal"/>
        <w:spacing w:before="120" w:after="240"/>
        <w:ind w:firstLine="720"/>
        <w:jc w:val="both"/>
        <w:rPr>
          <w:rFonts w:ascii="Arial" w:hAnsi="Arial"/>
          <w:sz w:val="22"/>
        </w:rPr>
      </w:pPr>
      <w:r>
        <w:rPr>
          <w:rFonts w:ascii="Arial" w:hAnsi="Arial"/>
          <w:sz w:val="22"/>
        </w:rPr>
        <w:t>při teplotě t</w:t>
      </w:r>
      <w:r>
        <w:rPr>
          <w:rFonts w:ascii="Arial" w:hAnsi="Arial"/>
          <w:position w:val="-6"/>
          <w:sz w:val="22"/>
        </w:rPr>
        <w:t>e</w:t>
      </w:r>
      <w:r>
        <w:rPr>
          <w:rFonts w:ascii="Arial" w:hAnsi="Arial"/>
          <w:sz w:val="22"/>
        </w:rPr>
        <w:t xml:space="preserve"> –12 °C.</w:t>
      </w:r>
    </w:p>
    <w:p>
      <w:pPr>
        <w:pStyle w:val="Normal"/>
        <w:numPr>
          <w:ilvl w:val="0"/>
          <w:numId w:val="4"/>
        </w:numPr>
        <w:spacing w:before="120" w:after="0"/>
        <w:jc w:val="both"/>
        <w:rPr>
          <w:rFonts w:ascii="Arial" w:hAnsi="Arial"/>
          <w:sz w:val="22"/>
          <w:u w:val="single"/>
        </w:rPr>
      </w:pPr>
      <w:r>
        <w:rPr>
          <w:rFonts w:ascii="Arial" w:hAnsi="Arial"/>
          <w:b/>
          <w:sz w:val="22"/>
          <w:u w:val="single"/>
        </w:rPr>
        <w:t>ZDROJ TEPLA</w:t>
      </w:r>
      <w:r>
        <w:rPr>
          <w:rFonts w:ascii="Arial" w:hAnsi="Arial"/>
          <w:sz w:val="22"/>
          <w:u w:val="single"/>
        </w:rPr>
        <w:t>:</w:t>
      </w:r>
    </w:p>
    <w:p>
      <w:pPr>
        <w:pStyle w:val="Normal"/>
        <w:spacing w:before="120" w:after="0"/>
        <w:ind w:firstLine="720"/>
        <w:jc w:val="both"/>
        <w:rPr>
          <w:rFonts w:ascii="Arial" w:hAnsi="Arial" w:cs="Arial"/>
          <w:sz w:val="22"/>
        </w:rPr>
      </w:pPr>
      <w:r>
        <w:rPr>
          <w:rFonts w:cs="Arial" w:ascii="Arial" w:hAnsi="Arial"/>
          <w:sz w:val="22"/>
        </w:rPr>
        <w:t xml:space="preserve">Zdrojem tepla pro vytápění rodinného domu je vlastní teplovodní plynový kondenzační závěsný kotel s nerezovým výměníkem se jmenovitým výkonem 19,7 kW. Z hlediska norem a předpisů o plynovém zařízení se v daném případě jedná o plynové odběrné zařízení. </w:t>
      </w:r>
    </w:p>
    <w:p>
      <w:pPr>
        <w:pStyle w:val="Normal"/>
        <w:spacing w:before="120" w:after="0"/>
        <w:ind w:firstLine="720"/>
        <w:jc w:val="both"/>
        <w:rPr>
          <w:rFonts w:ascii="Arial" w:hAnsi="Arial" w:cs="Arial"/>
          <w:sz w:val="22"/>
        </w:rPr>
      </w:pPr>
      <w:r>
        <w:rPr>
          <w:rFonts w:cs="Arial" w:ascii="Arial" w:hAnsi="Arial"/>
          <w:sz w:val="22"/>
        </w:rPr>
        <w:t>Uvažovaný kotel je nízko emisní. Kotel je vybaven veškerou zabezpečovací automatikou. Kotel je zařazen do třídy Nox 5. Tepelný příkon kotle je 3,0 – 19,0 kW.</w:t>
      </w:r>
    </w:p>
    <w:p>
      <w:pPr>
        <w:pStyle w:val="Normal"/>
        <w:spacing w:before="120" w:after="0"/>
        <w:jc w:val="both"/>
        <w:rPr>
          <w:rFonts w:ascii="Arial" w:hAnsi="Arial" w:cs="Arial"/>
          <w:sz w:val="22"/>
        </w:rPr>
      </w:pPr>
      <w:r>
        <w:rPr>
          <w:rFonts w:cs="Arial" w:ascii="Arial" w:hAnsi="Arial"/>
          <w:sz w:val="22"/>
        </w:rPr>
        <w:tab/>
        <w:t xml:space="preserve">Kotel bude odkouřen samostatně nad střechu objektu, průměr odkouření 80 mm. Spalovací vzduch je odebírán z venkovního prostoru. </w:t>
      </w:r>
    </w:p>
    <w:p>
      <w:pPr>
        <w:pStyle w:val="Normal"/>
        <w:spacing w:before="120" w:after="0"/>
        <w:ind w:firstLine="720"/>
        <w:jc w:val="both"/>
        <w:rPr>
          <w:rFonts w:ascii="Arial" w:hAnsi="Arial" w:cs="Arial"/>
          <w:sz w:val="22"/>
        </w:rPr>
      </w:pPr>
      <w:r>
        <w:rPr>
          <w:rFonts w:cs="Arial" w:ascii="Arial" w:hAnsi="Arial"/>
          <w:sz w:val="22"/>
        </w:rPr>
        <w:t xml:space="preserve">       </w:t>
      </w:r>
      <w:r>
        <w:rPr>
          <w:rFonts w:cs="Arial" w:ascii="Arial" w:hAnsi="Arial"/>
          <w:sz w:val="22"/>
        </w:rPr>
        <w:t xml:space="preserve">Kotel je na straně topné vody jištěn proti nedovolenému stoupnutí tlaku expanzní nádobou typu EXPANZOMAT o objemu 18 litrů. Kotel je doplněn o pojistný ventil a další nezbytné armatury – součást kotle. </w:t>
      </w:r>
    </w:p>
    <w:p>
      <w:pPr>
        <w:pStyle w:val="Normal"/>
        <w:spacing w:before="120" w:after="240"/>
        <w:ind w:firstLine="720"/>
        <w:jc w:val="both"/>
        <w:rPr>
          <w:rFonts w:ascii="Arial" w:hAnsi="Arial" w:cs="Arial"/>
          <w:sz w:val="22"/>
        </w:rPr>
      </w:pPr>
      <w:r>
        <w:rPr>
          <w:rFonts w:cs="Arial" w:ascii="Arial" w:hAnsi="Arial"/>
          <w:sz w:val="22"/>
        </w:rPr>
        <w:t>Ke kotli budou napojeny následující regulační okruhy.</w:t>
      </w:r>
    </w:p>
    <w:p>
      <w:pPr>
        <w:pStyle w:val="Normal"/>
        <w:spacing w:before="120" w:after="0"/>
        <w:jc w:val="both"/>
        <w:rPr>
          <w:rFonts w:ascii="Arial" w:hAnsi="Arial" w:cs="Arial"/>
          <w:sz w:val="22"/>
        </w:rPr>
      </w:pPr>
      <w:r>
        <w:rPr>
          <w:rFonts w:cs="Arial" w:ascii="Arial" w:hAnsi="Arial"/>
          <w:sz w:val="22"/>
          <w:u w:val="single"/>
        </w:rPr>
        <w:t xml:space="preserve"> </w:t>
      </w:r>
      <w:r>
        <w:rPr>
          <w:rFonts w:cs="Arial" w:ascii="Arial" w:hAnsi="Arial"/>
          <w:sz w:val="22"/>
          <w:u w:val="single"/>
        </w:rPr>
        <w:t>REGULAČNÍ OKRUHY</w:t>
      </w:r>
      <w:r>
        <w:rPr>
          <w:rFonts w:cs="Arial" w:ascii="Arial" w:hAnsi="Arial"/>
          <w:sz w:val="22"/>
        </w:rPr>
        <w:t>:</w:t>
      </w:r>
    </w:p>
    <w:p>
      <w:pPr>
        <w:pStyle w:val="Normal"/>
        <w:numPr>
          <w:ilvl w:val="0"/>
          <w:numId w:val="7"/>
        </w:numPr>
        <w:spacing w:before="120" w:after="0"/>
        <w:jc w:val="both"/>
        <w:rPr>
          <w:rFonts w:ascii="Arial" w:hAnsi="Arial" w:cs="Arial"/>
          <w:sz w:val="22"/>
          <w:szCs w:val="22"/>
          <w:u w:val="single"/>
        </w:rPr>
      </w:pPr>
      <w:r>
        <w:rPr>
          <w:rFonts w:cs="Arial" w:ascii="Arial" w:hAnsi="Arial"/>
          <w:sz w:val="22"/>
          <w:szCs w:val="22"/>
          <w:u w:val="single"/>
        </w:rPr>
        <w:t>Otopná soustava (60/45 °C) – otopná tělesa</w:t>
      </w:r>
    </w:p>
    <w:p>
      <w:pPr>
        <w:pStyle w:val="BodyText2"/>
        <w:spacing w:lineRule="auto" w:line="240"/>
        <w:ind w:firstLine="720"/>
        <w:rPr>
          <w:rFonts w:ascii="Arial" w:hAnsi="Arial" w:cs="Arial"/>
          <w:sz w:val="22"/>
          <w:szCs w:val="22"/>
        </w:rPr>
      </w:pPr>
      <w:r>
        <w:rPr>
          <w:rFonts w:cs="Arial" w:ascii="Arial" w:hAnsi="Arial"/>
          <w:sz w:val="22"/>
          <w:szCs w:val="22"/>
        </w:rPr>
        <w:t>Řízení výkonu otopné soustavy je prováděno dle venkovní teploty. Regulátorem bude řídící prvek měření a regulace kotle. Součástí kotle je oběhové čerpadlo s elektronicky řízenými otáčkami.</w:t>
      </w:r>
    </w:p>
    <w:p>
      <w:pPr>
        <w:pStyle w:val="Normal"/>
        <w:numPr>
          <w:ilvl w:val="0"/>
          <w:numId w:val="7"/>
        </w:numPr>
        <w:spacing w:before="120" w:after="0"/>
        <w:jc w:val="both"/>
        <w:rPr>
          <w:rFonts w:ascii="Arial" w:hAnsi="Arial" w:cs="Arial"/>
          <w:sz w:val="22"/>
          <w:szCs w:val="22"/>
          <w:u w:val="single"/>
        </w:rPr>
      </w:pPr>
      <w:r>
        <w:rPr>
          <w:rFonts w:cs="Arial" w:ascii="Arial" w:hAnsi="Arial"/>
          <w:sz w:val="22"/>
          <w:szCs w:val="22"/>
          <w:u w:val="single"/>
        </w:rPr>
        <w:t>Příprava teplé vody (70/60 °C)</w:t>
      </w:r>
    </w:p>
    <w:p>
      <w:pPr>
        <w:pStyle w:val="Tlotextu"/>
        <w:spacing w:before="120" w:after="240"/>
        <w:ind w:firstLine="720"/>
        <w:rPr>
          <w:rFonts w:cs="Arial"/>
          <w:sz w:val="22"/>
          <w:szCs w:val="22"/>
        </w:rPr>
      </w:pPr>
      <w:r>
        <w:rPr>
          <w:rFonts w:cs="Arial"/>
          <w:sz w:val="22"/>
          <w:szCs w:val="22"/>
        </w:rPr>
        <w:t>Teplá užitková voda je připravována v zásobníkovém ohříváku o objemu 160 litrů. Provoz přípravy TV je řízen teplotou vody v ohříváku TV a předřazený před ostatními spotřebiči.</w:t>
      </w:r>
    </w:p>
    <w:p>
      <w:pPr>
        <w:pStyle w:val="Tlotextu"/>
        <w:spacing w:before="120" w:after="240"/>
        <w:ind w:firstLine="720"/>
        <w:rPr>
          <w:rFonts w:cs="Arial"/>
          <w:sz w:val="22"/>
          <w:szCs w:val="22"/>
        </w:rPr>
      </w:pPr>
      <w:r>
        <w:rPr>
          <w:rFonts w:cs="Arial"/>
          <w:sz w:val="22"/>
          <w:szCs w:val="22"/>
        </w:rPr>
        <w:t>Doba ohřevu teplé vody v ohříváku je cca 26 min.</w:t>
      </w:r>
      <w:r>
        <w:br w:type="page"/>
      </w:r>
    </w:p>
    <w:p>
      <w:pPr>
        <w:pStyle w:val="Normal"/>
        <w:numPr>
          <w:ilvl w:val="0"/>
          <w:numId w:val="5"/>
        </w:numPr>
        <w:spacing w:before="120" w:after="0"/>
        <w:jc w:val="both"/>
        <w:rPr>
          <w:rFonts w:ascii="Arial" w:hAnsi="Arial" w:cs="Arial"/>
          <w:sz w:val="22"/>
        </w:rPr>
      </w:pPr>
      <w:r>
        <w:rPr>
          <w:rFonts w:ascii="Arial" w:hAnsi="Arial"/>
          <w:b/>
          <w:sz w:val="22"/>
          <w:u w:val="single"/>
        </w:rPr>
        <w:t>O</w:t>
      </w:r>
      <w:r>
        <w:rPr>
          <w:rFonts w:cs="Arial" w:ascii="Arial" w:hAnsi="Arial"/>
          <w:b/>
          <w:sz w:val="22"/>
          <w:u w:val="single"/>
        </w:rPr>
        <w:t>TOPNÁ SOUSTAVA</w:t>
      </w:r>
      <w:r>
        <w:rPr>
          <w:rFonts w:cs="Arial" w:ascii="Arial" w:hAnsi="Arial"/>
          <w:sz w:val="22"/>
        </w:rPr>
        <w:t xml:space="preserve">: </w:t>
      </w:r>
    </w:p>
    <w:p>
      <w:pPr>
        <w:pStyle w:val="Normal"/>
        <w:spacing w:before="120" w:after="0"/>
        <w:ind w:firstLine="720"/>
        <w:jc w:val="both"/>
        <w:rPr>
          <w:rFonts w:ascii="Arial" w:hAnsi="Arial" w:cs="Arial"/>
          <w:sz w:val="22"/>
        </w:rPr>
      </w:pPr>
      <w:r>
        <w:rPr>
          <w:rFonts w:cs="Arial" w:ascii="Arial" w:hAnsi="Arial"/>
          <w:sz w:val="22"/>
        </w:rPr>
        <w:t>Tepelnou ztrátu objektu pokryje otopná soustava tvořena:</w:t>
      </w:r>
    </w:p>
    <w:p>
      <w:pPr>
        <w:pStyle w:val="Normal"/>
        <w:numPr>
          <w:ilvl w:val="0"/>
          <w:numId w:val="1"/>
        </w:numPr>
        <w:spacing w:before="120" w:after="0"/>
        <w:jc w:val="both"/>
        <w:rPr>
          <w:rFonts w:ascii="Arial" w:hAnsi="Arial" w:cs="Arial"/>
          <w:sz w:val="22"/>
        </w:rPr>
      </w:pPr>
      <w:r>
        <w:rPr>
          <w:rFonts w:cs="Arial" w:ascii="Arial" w:hAnsi="Arial"/>
          <w:sz w:val="22"/>
        </w:rPr>
        <w:t>Deskovými otopnými tělesy s integrovaným ventilem</w:t>
      </w:r>
    </w:p>
    <w:p>
      <w:pPr>
        <w:pStyle w:val="Normal"/>
        <w:numPr>
          <w:ilvl w:val="0"/>
          <w:numId w:val="1"/>
        </w:numPr>
        <w:spacing w:before="120" w:after="0"/>
        <w:jc w:val="both"/>
        <w:rPr>
          <w:rFonts w:ascii="Arial" w:hAnsi="Arial" w:cs="Arial"/>
          <w:sz w:val="22"/>
        </w:rPr>
      </w:pPr>
      <w:r>
        <w:rPr>
          <w:rFonts w:cs="Arial" w:ascii="Arial" w:hAnsi="Arial"/>
          <w:sz w:val="22"/>
        </w:rPr>
        <w:t>Deskovými otopnými stěnami se spodním středovým připojením</w:t>
      </w:r>
    </w:p>
    <w:p>
      <w:pPr>
        <w:pStyle w:val="Normal"/>
        <w:numPr>
          <w:ilvl w:val="0"/>
          <w:numId w:val="1"/>
        </w:numPr>
        <w:spacing w:before="120" w:after="0"/>
        <w:jc w:val="both"/>
        <w:rPr>
          <w:rFonts w:ascii="Arial" w:hAnsi="Arial" w:cs="Arial"/>
          <w:sz w:val="22"/>
        </w:rPr>
      </w:pPr>
      <w:r>
        <w:rPr>
          <w:rFonts w:cs="Arial" w:ascii="Arial" w:hAnsi="Arial"/>
          <w:sz w:val="22"/>
        </w:rPr>
        <w:t>Koupelnovými tělesy se spodním středovým připojením</w:t>
      </w:r>
    </w:p>
    <w:p>
      <w:pPr>
        <w:pStyle w:val="Normal"/>
        <w:numPr>
          <w:ilvl w:val="0"/>
          <w:numId w:val="1"/>
        </w:numPr>
        <w:spacing w:before="120" w:after="0"/>
        <w:jc w:val="both"/>
        <w:rPr>
          <w:rFonts w:ascii="Arial" w:hAnsi="Arial" w:cs="Arial"/>
          <w:sz w:val="22"/>
        </w:rPr>
      </w:pPr>
      <w:r>
        <w:rPr>
          <w:rFonts w:cs="Arial" w:ascii="Arial" w:hAnsi="Arial"/>
          <w:sz w:val="22"/>
        </w:rPr>
        <w:t>Podlahovým konvektorem s přirozenou konvekcí</w:t>
      </w:r>
    </w:p>
    <w:p>
      <w:pPr>
        <w:pStyle w:val="Nadpis3"/>
        <w:spacing w:before="240" w:after="0"/>
        <w:rPr>
          <w:rFonts w:cs="Arial"/>
          <w:sz w:val="22"/>
          <w:szCs w:val="22"/>
          <w:u w:val="single"/>
        </w:rPr>
      </w:pPr>
      <w:r>
        <w:rPr>
          <w:rFonts w:cs="Arial"/>
          <w:sz w:val="22"/>
          <w:szCs w:val="22"/>
          <w:u w:val="single"/>
        </w:rPr>
        <w:t>OTOPNÁ TĚLESA</w:t>
      </w:r>
    </w:p>
    <w:p>
      <w:pPr>
        <w:pStyle w:val="Normal"/>
        <w:spacing w:before="120" w:after="0"/>
        <w:ind w:firstLine="720"/>
        <w:jc w:val="both"/>
        <w:rPr>
          <w:rFonts w:ascii="Arial" w:hAnsi="Arial" w:cs="Arial"/>
          <w:sz w:val="22"/>
        </w:rPr>
      </w:pPr>
      <w:r>
        <w:rPr>
          <w:rFonts w:cs="Arial" w:ascii="Arial" w:hAnsi="Arial"/>
          <w:sz w:val="22"/>
        </w:rPr>
        <w:t>Desková otopná tělesa jsou osazena termostatickým ventilem přímo z výroby a budou připojena radiátorovým regulačně uzavíracím šroubením.</w:t>
      </w:r>
    </w:p>
    <w:p>
      <w:pPr>
        <w:pStyle w:val="Normal"/>
        <w:spacing w:before="120" w:after="0"/>
        <w:ind w:firstLine="720"/>
        <w:jc w:val="both"/>
        <w:rPr>
          <w:rFonts w:ascii="Arial" w:hAnsi="Arial" w:cs="Arial"/>
          <w:sz w:val="22"/>
        </w:rPr>
      </w:pPr>
      <w:r>
        <w:rPr>
          <w:rFonts w:cs="Arial" w:ascii="Arial" w:hAnsi="Arial"/>
          <w:sz w:val="22"/>
        </w:rPr>
        <w:t>Koupelnová tělesa a otopné stěny budou osazeny termostatickými ventily typu H.</w:t>
      </w:r>
    </w:p>
    <w:p>
      <w:pPr>
        <w:pStyle w:val="Normal"/>
        <w:spacing w:before="120" w:after="0"/>
        <w:ind w:firstLine="720"/>
        <w:jc w:val="both"/>
        <w:rPr>
          <w:rFonts w:ascii="Arial" w:hAnsi="Arial" w:cs="Arial"/>
          <w:sz w:val="22"/>
        </w:rPr>
      </w:pPr>
      <w:r>
        <w:rPr>
          <w:rFonts w:cs="Arial" w:ascii="Arial" w:hAnsi="Arial"/>
          <w:sz w:val="22"/>
        </w:rPr>
        <w:t>Podlahové konvektory jsou osazeny termostatickými ventily a regulačně uzavíracím šroubením s vypouštěním.</w:t>
      </w:r>
    </w:p>
    <w:p>
      <w:pPr>
        <w:pStyle w:val="Normal"/>
        <w:spacing w:before="120" w:after="240"/>
        <w:ind w:firstLine="720"/>
        <w:jc w:val="both"/>
        <w:rPr>
          <w:rFonts w:ascii="Arial" w:hAnsi="Arial" w:cs="Arial"/>
          <w:sz w:val="22"/>
        </w:rPr>
      </w:pPr>
      <w:r>
        <w:rPr>
          <w:rFonts w:cs="Arial" w:ascii="Arial" w:hAnsi="Arial"/>
          <w:sz w:val="22"/>
        </w:rPr>
        <w:t>Jednotlivá tělesa budou osazena termostatickými hlavicemi.</w:t>
      </w:r>
    </w:p>
    <w:p>
      <w:pPr>
        <w:pStyle w:val="Normal"/>
        <w:numPr>
          <w:ilvl w:val="0"/>
          <w:numId w:val="5"/>
        </w:numPr>
        <w:spacing w:before="120" w:after="0"/>
        <w:jc w:val="both"/>
        <w:rPr>
          <w:rFonts w:ascii="Arial" w:hAnsi="Arial" w:cs="Arial"/>
          <w:b/>
          <w:b/>
          <w:sz w:val="22"/>
          <w:szCs w:val="22"/>
          <w:u w:val="single"/>
        </w:rPr>
      </w:pPr>
      <w:r>
        <w:rPr>
          <w:rFonts w:ascii="Arial" w:hAnsi="Arial"/>
          <w:b/>
          <w:sz w:val="22"/>
          <w:u w:val="single"/>
        </w:rPr>
        <w:t>ROZVOD</w:t>
      </w:r>
      <w:r>
        <w:rPr>
          <w:rFonts w:cs="Arial" w:ascii="Arial" w:hAnsi="Arial"/>
          <w:b/>
          <w:sz w:val="22"/>
          <w:szCs w:val="22"/>
          <w:u w:val="single"/>
        </w:rPr>
        <w:t xml:space="preserve"> POTRUBÍ</w:t>
      </w:r>
    </w:p>
    <w:p>
      <w:pPr>
        <w:pStyle w:val="Normal"/>
        <w:spacing w:before="120" w:after="0"/>
        <w:ind w:firstLine="720"/>
        <w:jc w:val="both"/>
        <w:rPr>
          <w:rFonts w:ascii="Arial" w:hAnsi="Arial" w:cs="Arial"/>
          <w:sz w:val="22"/>
        </w:rPr>
      </w:pPr>
      <w:r>
        <w:rPr>
          <w:rFonts w:cs="Arial" w:ascii="Arial" w:hAnsi="Arial"/>
          <w:sz w:val="22"/>
        </w:rPr>
        <w:t>Rozvod potrubí bude proveden:</w:t>
      </w:r>
    </w:p>
    <w:p>
      <w:pPr>
        <w:pStyle w:val="Normal"/>
        <w:numPr>
          <w:ilvl w:val="0"/>
          <w:numId w:val="3"/>
        </w:numPr>
        <w:spacing w:before="120" w:after="0"/>
        <w:jc w:val="both"/>
        <w:rPr>
          <w:rFonts w:ascii="Arial" w:hAnsi="Arial" w:cs="Arial"/>
          <w:sz w:val="22"/>
        </w:rPr>
      </w:pPr>
      <w:r>
        <w:rPr>
          <w:rFonts w:cs="Arial" w:ascii="Arial" w:hAnsi="Arial"/>
          <w:sz w:val="22"/>
        </w:rPr>
        <w:t xml:space="preserve">V kotelně – z měděných trubek </w:t>
      </w:r>
    </w:p>
    <w:p>
      <w:pPr>
        <w:pStyle w:val="Normal"/>
        <w:numPr>
          <w:ilvl w:val="0"/>
          <w:numId w:val="3"/>
        </w:numPr>
        <w:spacing w:before="120" w:after="0"/>
        <w:jc w:val="both"/>
        <w:rPr>
          <w:rFonts w:ascii="Arial" w:hAnsi="Arial" w:cs="Arial"/>
          <w:sz w:val="22"/>
        </w:rPr>
      </w:pPr>
      <w:r>
        <w:rPr>
          <w:rFonts w:cs="Arial" w:ascii="Arial" w:hAnsi="Arial"/>
          <w:sz w:val="22"/>
        </w:rPr>
        <w:t>Hlavní rozvod po objektu – měděné potrubí</w:t>
      </w:r>
    </w:p>
    <w:p>
      <w:pPr>
        <w:pStyle w:val="Tlotextu"/>
        <w:ind w:firstLine="720"/>
        <w:rPr>
          <w:rFonts w:cs="Arial"/>
          <w:sz w:val="22"/>
        </w:rPr>
      </w:pPr>
      <w:r>
        <w:rPr>
          <w:rFonts w:cs="Arial"/>
          <w:sz w:val="22"/>
        </w:rPr>
        <w:t>V nejvyšších místech otopné soustavy bude rozvod potrubí odvzdušněn (součást otopných těles). V nejnižších místech jsou umístěny vypouštěcí kohouty. Vypouštění a odvzdušnění je třeba doplnit na místě dle skutečných potřeb a spádů potrubí.</w:t>
      </w:r>
    </w:p>
    <w:p>
      <w:pPr>
        <w:pStyle w:val="Normal"/>
        <w:spacing w:before="120" w:after="240"/>
        <w:ind w:firstLine="709"/>
        <w:jc w:val="both"/>
        <w:rPr>
          <w:rFonts w:ascii="Arial" w:hAnsi="Arial" w:cs="Arial"/>
          <w:sz w:val="22"/>
        </w:rPr>
      </w:pPr>
      <w:r>
        <w:rPr>
          <w:rFonts w:cs="Arial" w:ascii="Arial" w:hAnsi="Arial"/>
          <w:sz w:val="22"/>
        </w:rPr>
        <w:t>Potrubí bude vedeno v objímkách s gumovou výstelkou a na profilech. Vzdálenost podpěr bude volena jednotně cca 2500 mm.</w:t>
      </w:r>
    </w:p>
    <w:p>
      <w:pPr>
        <w:pStyle w:val="Normal"/>
        <w:numPr>
          <w:ilvl w:val="0"/>
          <w:numId w:val="5"/>
        </w:numPr>
        <w:spacing w:before="120" w:after="0"/>
        <w:jc w:val="both"/>
        <w:rPr>
          <w:rFonts w:ascii="Arial" w:hAnsi="Arial" w:cs="Arial"/>
          <w:b/>
          <w:b/>
          <w:bCs/>
          <w:sz w:val="22"/>
          <w:u w:val="single"/>
        </w:rPr>
      </w:pPr>
      <w:r>
        <w:rPr>
          <w:rFonts w:cs="Arial" w:ascii="Arial" w:hAnsi="Arial"/>
          <w:b/>
          <w:bCs/>
          <w:sz w:val="22"/>
          <w:u w:val="single"/>
        </w:rPr>
        <w:t>NÁTĚRY A IZOLACE</w:t>
      </w:r>
    </w:p>
    <w:p>
      <w:pPr>
        <w:pStyle w:val="Tlotextu"/>
        <w:ind w:firstLine="720"/>
        <w:rPr>
          <w:rFonts w:cs="Arial"/>
          <w:sz w:val="22"/>
        </w:rPr>
      </w:pPr>
      <w:r>
        <w:rPr>
          <w:rFonts w:cs="Arial"/>
          <w:sz w:val="22"/>
          <w:szCs w:val="22"/>
        </w:rPr>
        <w:t>Potrubí vedoucí k jednotlivým tělesům je uloženo do konstrukce podlahy a do nik. Potrubí v nikách a podlaze bude opatřeno tepelnou izolací na bázi pěněného polyetylénu tak, aby nedošlo ke styku omítky a podlahové konstrukce k potrubí a následně nedošlo k trhání omítek případně podlah.</w:t>
      </w:r>
    </w:p>
    <w:p>
      <w:pPr>
        <w:pStyle w:val="Normal"/>
        <w:numPr>
          <w:ilvl w:val="0"/>
          <w:numId w:val="5"/>
        </w:numPr>
        <w:spacing w:before="240" w:after="0"/>
        <w:jc w:val="both"/>
        <w:rPr>
          <w:rFonts w:ascii="Arial" w:hAnsi="Arial" w:cs="Arial"/>
          <w:b/>
          <w:b/>
          <w:sz w:val="22"/>
          <w:u w:val="single"/>
        </w:rPr>
      </w:pPr>
      <w:r>
        <w:rPr>
          <w:rFonts w:cs="Arial" w:ascii="Arial" w:hAnsi="Arial"/>
          <w:b/>
          <w:sz w:val="22"/>
          <w:u w:val="single"/>
        </w:rPr>
        <w:t>SPOTŘEBA PALIVA</w:t>
      </w:r>
    </w:p>
    <w:p>
      <w:pPr>
        <w:pStyle w:val="Tlotextu"/>
        <w:ind w:firstLine="720"/>
        <w:rPr>
          <w:rFonts w:cs="Arial"/>
          <w:sz w:val="22"/>
        </w:rPr>
      </w:pPr>
      <w:r>
        <w:rPr>
          <w:rFonts w:cs="Arial"/>
          <w:sz w:val="22"/>
        </w:rPr>
        <w:t>Stanovení roční spotřeby paliva vychází z propočtu pomocí denostupňové metody.</w:t>
      </w:r>
    </w:p>
    <w:p>
      <w:pPr>
        <w:pStyle w:val="Normal"/>
        <w:spacing w:before="120" w:after="0"/>
        <w:ind w:left="720" w:firstLine="720"/>
        <w:jc w:val="both"/>
        <w:rPr>
          <w:rFonts w:ascii="Arial" w:hAnsi="Arial" w:cs="Arial"/>
          <w:sz w:val="22"/>
        </w:rPr>
      </w:pPr>
      <w:r>
        <w:rPr>
          <w:rFonts w:cs="Arial" w:ascii="Arial" w:hAnsi="Arial"/>
          <w:sz w:val="22"/>
        </w:rPr>
        <w:t>počet vytápěcích dnů</w:t>
        <w:tab/>
        <w:tab/>
        <w:tab/>
        <w:tab/>
        <w:t>242</w:t>
      </w:r>
    </w:p>
    <w:p>
      <w:pPr>
        <w:pStyle w:val="Normal"/>
        <w:spacing w:before="120" w:after="0"/>
        <w:ind w:left="720" w:firstLine="720"/>
        <w:jc w:val="both"/>
        <w:rPr>
          <w:rFonts w:ascii="Arial" w:hAnsi="Arial" w:cs="Arial"/>
          <w:sz w:val="22"/>
        </w:rPr>
      </w:pPr>
      <w:r>
        <w:rPr>
          <w:rFonts w:cs="Arial" w:ascii="Arial" w:hAnsi="Arial"/>
          <w:sz w:val="22"/>
        </w:rPr>
        <w:t>prům. venkovní teplota</w:t>
        <w:tab/>
        <w:tab/>
        <w:tab/>
        <w:t>3,9</w:t>
      </w:r>
    </w:p>
    <w:p>
      <w:pPr>
        <w:pStyle w:val="Normal"/>
        <w:spacing w:before="120" w:after="0"/>
        <w:ind w:left="720" w:firstLine="720"/>
        <w:jc w:val="both"/>
        <w:rPr>
          <w:rFonts w:ascii="Arial" w:hAnsi="Arial" w:cs="Arial"/>
          <w:sz w:val="22"/>
        </w:rPr>
      </w:pPr>
      <w:r>
        <w:rPr>
          <w:rFonts w:cs="Arial" w:ascii="Arial" w:hAnsi="Arial"/>
          <w:sz w:val="22"/>
        </w:rPr>
        <w:t>roční potřeba tepla na vytápění a ohřev TV</w:t>
        <w:tab/>
        <w:t>30,0</w:t>
        <w:tab/>
        <w:t>MWh</w:t>
      </w:r>
    </w:p>
    <w:p>
      <w:pPr>
        <w:pStyle w:val="Normal"/>
        <w:spacing w:before="120" w:after="0"/>
        <w:ind w:left="720" w:firstLine="720"/>
        <w:jc w:val="both"/>
        <w:rPr>
          <w:rFonts w:ascii="Arial" w:hAnsi="Arial" w:cs="Arial"/>
          <w:sz w:val="22"/>
        </w:rPr>
      </w:pPr>
      <w:r>
        <w:rPr>
          <w:rFonts w:cs="Arial" w:ascii="Arial" w:hAnsi="Arial"/>
          <w:sz w:val="22"/>
        </w:rPr>
        <w:t>roční spotřeba zemního plynu</w:t>
        <w:tab/>
        <w:tab/>
        <w:t>3 120</w:t>
        <w:tab/>
        <w:t>m</w:t>
      </w:r>
      <w:r>
        <w:rPr>
          <w:rFonts w:cs="Arial" w:ascii="Arial" w:hAnsi="Arial"/>
          <w:sz w:val="22"/>
          <w:vertAlign w:val="superscript"/>
        </w:rPr>
        <w:t>3</w:t>
      </w:r>
      <w:r>
        <w:rPr>
          <w:rFonts w:cs="Arial" w:ascii="Arial" w:hAnsi="Arial"/>
          <w:sz w:val="22"/>
        </w:rPr>
        <w:t>/rok</w:t>
      </w:r>
    </w:p>
    <w:p>
      <w:pPr>
        <w:pStyle w:val="Normal"/>
        <w:spacing w:before="120" w:after="0"/>
        <w:ind w:left="720" w:firstLine="720"/>
        <w:jc w:val="both"/>
        <w:rPr>
          <w:rFonts w:ascii="Arial" w:hAnsi="Arial" w:cs="Arial"/>
          <w:sz w:val="22"/>
        </w:rPr>
      </w:pPr>
      <w:r>
        <w:rPr>
          <w:rFonts w:cs="Arial" w:ascii="Arial" w:hAnsi="Arial"/>
          <w:sz w:val="22"/>
        </w:rPr>
        <w:t>max. hodinová spotřeba zemního plynu</w:t>
        <w:tab/>
      </w:r>
      <w:r>
        <w:rPr>
          <w:rFonts w:cs="Arial" w:ascii="Arial" w:hAnsi="Arial"/>
          <w:sz w:val="22"/>
          <w:u w:val="single"/>
        </w:rPr>
        <w:t>2,01</w:t>
        <w:tab/>
        <w:t>m</w:t>
      </w:r>
      <w:r>
        <w:rPr>
          <w:rFonts w:cs="Arial" w:ascii="Arial" w:hAnsi="Arial"/>
          <w:sz w:val="22"/>
          <w:u w:val="single"/>
          <w:vertAlign w:val="superscript"/>
        </w:rPr>
        <w:t>3</w:t>
      </w:r>
      <w:r>
        <w:rPr>
          <w:rFonts w:cs="Arial" w:ascii="Arial" w:hAnsi="Arial"/>
          <w:sz w:val="22"/>
          <w:u w:val="single"/>
        </w:rPr>
        <w:t>/hod</w:t>
      </w:r>
    </w:p>
    <w:p>
      <w:pPr>
        <w:pStyle w:val="Normal"/>
        <w:spacing w:before="240" w:after="240"/>
        <w:ind w:left="720" w:hanging="0"/>
        <w:jc w:val="both"/>
        <w:rPr>
          <w:rFonts w:ascii="Arial" w:hAnsi="Arial" w:cs="Arial"/>
          <w:sz w:val="22"/>
          <w:szCs w:val="22"/>
        </w:rPr>
      </w:pPr>
      <w:r>
        <w:rPr>
          <w:rFonts w:cs="Arial" w:ascii="Arial" w:hAnsi="Arial"/>
          <w:sz w:val="22"/>
          <w:szCs w:val="22"/>
        </w:rPr>
        <w:t>Celková roční spotřeba paliva je pouze informativní.</w:t>
      </w:r>
      <w:r>
        <w:br w:type="page"/>
      </w:r>
    </w:p>
    <w:p>
      <w:pPr>
        <w:pStyle w:val="Normal"/>
        <w:numPr>
          <w:ilvl w:val="0"/>
          <w:numId w:val="5"/>
        </w:numPr>
        <w:spacing w:before="240" w:after="0"/>
        <w:jc w:val="both"/>
        <w:rPr>
          <w:rFonts w:ascii="Arial" w:hAnsi="Arial" w:cs="Arial"/>
          <w:b/>
          <w:b/>
          <w:sz w:val="22"/>
          <w:u w:val="single"/>
        </w:rPr>
      </w:pPr>
      <w:r>
        <w:rPr>
          <w:rFonts w:cs="Arial" w:ascii="Arial" w:hAnsi="Arial"/>
          <w:b/>
          <w:sz w:val="22"/>
          <w:u w:val="single"/>
        </w:rPr>
        <w:t>PROVOZ KOTELNY</w:t>
      </w:r>
    </w:p>
    <w:p>
      <w:pPr>
        <w:pStyle w:val="Normal"/>
        <w:spacing w:before="120" w:after="240"/>
        <w:ind w:firstLine="720"/>
        <w:jc w:val="both"/>
        <w:rPr>
          <w:rFonts w:ascii="Arial" w:hAnsi="Arial" w:cs="Arial"/>
          <w:sz w:val="22"/>
        </w:rPr>
      </w:pPr>
      <w:r>
        <w:rPr>
          <w:rFonts w:cs="Arial" w:ascii="Arial" w:hAnsi="Arial"/>
          <w:sz w:val="22"/>
        </w:rPr>
        <w:t>Kotelna je navržena bez stálé obsluhy – s občasným dozorem. Je jednoznačně přikázána povinnost kontroly pojistných ventilů včetně jejich odzkoušení odstříknutím v otopné soustavě minimálně 1x za měsíc.</w:t>
      </w:r>
    </w:p>
    <w:p>
      <w:pPr>
        <w:pStyle w:val="Normal"/>
        <w:numPr>
          <w:ilvl w:val="0"/>
          <w:numId w:val="5"/>
        </w:numPr>
        <w:spacing w:before="120" w:after="0"/>
        <w:jc w:val="both"/>
        <w:rPr>
          <w:rFonts w:ascii="Arial" w:hAnsi="Arial" w:cs="Arial"/>
          <w:b/>
          <w:b/>
          <w:sz w:val="22"/>
          <w:u w:val="single"/>
        </w:rPr>
      </w:pPr>
      <w:r>
        <w:rPr>
          <w:rFonts w:cs="Arial" w:ascii="Arial" w:hAnsi="Arial"/>
          <w:b/>
          <w:sz w:val="22"/>
          <w:u w:val="single"/>
        </w:rPr>
        <w:t>POŽADAVKY NA SOUVISEJÍCÍ PROFESE</w:t>
      </w:r>
    </w:p>
    <w:p>
      <w:pPr>
        <w:pStyle w:val="Normal"/>
        <w:spacing w:before="240" w:after="0"/>
        <w:ind w:firstLine="720"/>
        <w:jc w:val="both"/>
        <w:rPr>
          <w:rFonts w:ascii="Arial" w:hAnsi="Arial" w:cs="Arial"/>
          <w:b/>
          <w:b/>
          <w:sz w:val="22"/>
          <w:u w:val="single"/>
        </w:rPr>
      </w:pPr>
      <w:r>
        <w:rPr>
          <w:rFonts w:cs="Arial" w:ascii="Arial" w:hAnsi="Arial"/>
          <w:b/>
          <w:sz w:val="22"/>
          <w:u w:val="single"/>
        </w:rPr>
        <w:t>Stavební</w:t>
      </w:r>
    </w:p>
    <w:p>
      <w:pPr>
        <w:pStyle w:val="Normal"/>
        <w:numPr>
          <w:ilvl w:val="0"/>
          <w:numId w:val="8"/>
        </w:numPr>
        <w:jc w:val="both"/>
        <w:rPr>
          <w:rFonts w:ascii="Arial" w:hAnsi="Arial" w:cs="Arial"/>
          <w:sz w:val="22"/>
        </w:rPr>
      </w:pPr>
      <w:r>
        <w:rPr>
          <w:rFonts w:cs="Arial" w:ascii="Arial" w:hAnsi="Arial"/>
          <w:sz w:val="22"/>
        </w:rPr>
        <w:t>vybourání a pozdější utěsnění a začištění prostupů pro potrubí (stavební přípomoce) a odkouření</w:t>
      </w:r>
    </w:p>
    <w:p>
      <w:pPr>
        <w:pStyle w:val="Normal"/>
        <w:spacing w:before="240" w:after="0"/>
        <w:ind w:firstLine="720"/>
        <w:jc w:val="both"/>
        <w:rPr>
          <w:rFonts w:ascii="Arial" w:hAnsi="Arial" w:cs="Arial"/>
          <w:b/>
          <w:b/>
          <w:sz w:val="22"/>
          <w:u w:val="single"/>
        </w:rPr>
      </w:pPr>
      <w:r>
        <w:rPr>
          <w:rFonts w:cs="Arial" w:ascii="Arial" w:hAnsi="Arial"/>
          <w:b/>
          <w:sz w:val="22"/>
          <w:u w:val="single"/>
        </w:rPr>
        <w:t>Elektro a MaR</w:t>
      </w:r>
    </w:p>
    <w:p>
      <w:pPr>
        <w:pStyle w:val="Normal"/>
        <w:numPr>
          <w:ilvl w:val="0"/>
          <w:numId w:val="8"/>
        </w:numPr>
        <w:jc w:val="both"/>
        <w:rPr>
          <w:rFonts w:ascii="Arial" w:hAnsi="Arial" w:cs="Arial"/>
          <w:sz w:val="22"/>
        </w:rPr>
      </w:pPr>
      <w:r>
        <w:rPr>
          <w:rFonts w:cs="Arial" w:ascii="Arial" w:hAnsi="Arial"/>
          <w:sz w:val="22"/>
        </w:rPr>
        <w:t>silové napojení plynového kotle a propojení s venkovním čidlem a vnitřním ovládáním</w:t>
      </w:r>
    </w:p>
    <w:p>
      <w:pPr>
        <w:pStyle w:val="Normal"/>
        <w:numPr>
          <w:ilvl w:val="0"/>
          <w:numId w:val="8"/>
        </w:numPr>
        <w:jc w:val="both"/>
        <w:rPr>
          <w:rFonts w:ascii="Arial" w:hAnsi="Arial" w:cs="Arial"/>
          <w:sz w:val="22"/>
        </w:rPr>
      </w:pPr>
      <w:r>
        <w:rPr>
          <w:rFonts w:cs="Arial" w:ascii="Arial" w:hAnsi="Arial"/>
          <w:sz w:val="22"/>
        </w:rPr>
        <w:t>dodávka a montáž elektrického podlahového vytápění v koupelnách</w:t>
      </w:r>
    </w:p>
    <w:p>
      <w:pPr>
        <w:pStyle w:val="Normal"/>
        <w:spacing w:before="240" w:after="0"/>
        <w:ind w:firstLine="720"/>
        <w:jc w:val="both"/>
        <w:rPr>
          <w:rFonts w:ascii="Arial" w:hAnsi="Arial" w:cs="Arial"/>
          <w:b/>
          <w:b/>
          <w:sz w:val="22"/>
          <w:u w:val="single"/>
        </w:rPr>
      </w:pPr>
      <w:r>
        <w:rPr>
          <w:rFonts w:cs="Arial" w:ascii="Arial" w:hAnsi="Arial"/>
          <w:b/>
          <w:sz w:val="22"/>
          <w:u w:val="single"/>
        </w:rPr>
        <w:t>Zdravotně technické instalace</w:t>
      </w:r>
    </w:p>
    <w:p>
      <w:pPr>
        <w:pStyle w:val="Normal"/>
        <w:numPr>
          <w:ilvl w:val="0"/>
          <w:numId w:val="8"/>
        </w:numPr>
        <w:jc w:val="both"/>
        <w:rPr>
          <w:rFonts w:ascii="Arial" w:hAnsi="Arial" w:cs="Arial"/>
          <w:sz w:val="22"/>
        </w:rPr>
      </w:pPr>
      <w:r>
        <w:rPr>
          <w:rFonts w:cs="Arial" w:ascii="Arial" w:hAnsi="Arial"/>
          <w:sz w:val="22"/>
        </w:rPr>
        <w:t>odvod kondenzátu od plynového kotle</w:t>
      </w:r>
    </w:p>
    <w:p>
      <w:pPr>
        <w:pStyle w:val="Normal"/>
        <w:numPr>
          <w:ilvl w:val="0"/>
          <w:numId w:val="8"/>
        </w:numPr>
        <w:jc w:val="both"/>
        <w:rPr>
          <w:rFonts w:ascii="Arial" w:hAnsi="Arial" w:cs="Arial"/>
          <w:sz w:val="22"/>
        </w:rPr>
      </w:pPr>
      <w:r>
        <w:rPr>
          <w:rFonts w:cs="Arial" w:ascii="Arial" w:hAnsi="Arial"/>
          <w:sz w:val="22"/>
        </w:rPr>
        <w:t>dopojení zásobníku teplé vody na studenou vodu, teplou vodu a cirkulaci</w:t>
      </w:r>
    </w:p>
    <w:p>
      <w:pPr>
        <w:pStyle w:val="Normal"/>
        <w:numPr>
          <w:ilvl w:val="0"/>
          <w:numId w:val="8"/>
        </w:numPr>
        <w:jc w:val="both"/>
        <w:rPr>
          <w:rFonts w:ascii="Arial" w:hAnsi="Arial" w:cs="Arial"/>
          <w:sz w:val="22"/>
        </w:rPr>
      </w:pPr>
      <w:r>
        <w:rPr>
          <w:rFonts w:cs="Arial" w:ascii="Arial" w:hAnsi="Arial"/>
          <w:sz w:val="22"/>
        </w:rPr>
        <w:t>napojení plynového kotle na plynovou přípojku</w:t>
      </w:r>
    </w:p>
    <w:p>
      <w:pPr>
        <w:pStyle w:val="Normal"/>
        <w:numPr>
          <w:ilvl w:val="0"/>
          <w:numId w:val="8"/>
        </w:numPr>
        <w:jc w:val="both"/>
        <w:rPr>
          <w:rFonts w:ascii="Arial" w:hAnsi="Arial" w:cs="Arial"/>
          <w:sz w:val="22"/>
        </w:rPr>
      </w:pPr>
      <w:r>
        <w:rPr>
          <w:rFonts w:cs="Arial" w:ascii="Arial" w:hAnsi="Arial"/>
          <w:sz w:val="22"/>
        </w:rPr>
        <w:t>dopouštění soustavy vytápění</w:t>
      </w:r>
    </w:p>
    <w:p>
      <w:pPr>
        <w:pStyle w:val="Normal"/>
        <w:numPr>
          <w:ilvl w:val="0"/>
          <w:numId w:val="5"/>
        </w:numPr>
        <w:spacing w:before="240" w:after="0"/>
        <w:jc w:val="both"/>
        <w:rPr>
          <w:rFonts w:ascii="Arial" w:hAnsi="Arial" w:cs="Arial"/>
          <w:b/>
          <w:b/>
          <w:bCs/>
          <w:sz w:val="22"/>
          <w:u w:val="single"/>
        </w:rPr>
      </w:pPr>
      <w:r>
        <w:rPr>
          <w:rFonts w:cs="Arial" w:ascii="Arial" w:hAnsi="Arial"/>
          <w:b/>
          <w:bCs/>
          <w:sz w:val="22"/>
          <w:u w:val="single"/>
        </w:rPr>
        <w:t>ZÁVĚR:</w:t>
      </w:r>
    </w:p>
    <w:p>
      <w:pPr>
        <w:pStyle w:val="Normal"/>
        <w:numPr>
          <w:ilvl w:val="0"/>
          <w:numId w:val="6"/>
        </w:numPr>
        <w:spacing w:before="120" w:after="0"/>
        <w:jc w:val="both"/>
        <w:rPr>
          <w:rFonts w:ascii="Arial" w:hAnsi="Arial" w:cs="Arial"/>
          <w:sz w:val="22"/>
        </w:rPr>
      </w:pPr>
      <w:r>
        <w:rPr>
          <w:rFonts w:cs="Arial" w:ascii="Arial" w:hAnsi="Arial"/>
          <w:sz w:val="22"/>
        </w:rPr>
        <w:t>Snížení spotřeby tepla je možné dále dosáhnout:</w:t>
      </w:r>
    </w:p>
    <w:p>
      <w:pPr>
        <w:pStyle w:val="Normal"/>
        <w:spacing w:before="120" w:after="0"/>
        <w:ind w:firstLine="720"/>
        <w:jc w:val="both"/>
        <w:rPr>
          <w:rFonts w:ascii="Arial" w:hAnsi="Arial" w:cs="Arial"/>
          <w:sz w:val="22"/>
        </w:rPr>
      </w:pPr>
      <w:r>
        <w:rPr>
          <w:rFonts w:cs="Arial" w:ascii="Arial" w:hAnsi="Arial"/>
          <w:sz w:val="22"/>
        </w:rPr>
        <w:t>Vytápěním na nižší teploty. Nárůst teploty o 1°C představuje nárůst spotřeby tepla o 5 - 7 %.</w:t>
      </w:r>
    </w:p>
    <w:p>
      <w:pPr>
        <w:pStyle w:val="Normal"/>
        <w:numPr>
          <w:ilvl w:val="0"/>
          <w:numId w:val="6"/>
        </w:numPr>
        <w:spacing w:before="120" w:after="0"/>
        <w:jc w:val="both"/>
        <w:rPr>
          <w:rFonts w:ascii="Arial" w:hAnsi="Arial" w:cs="Arial"/>
          <w:sz w:val="22"/>
        </w:rPr>
      </w:pPr>
      <w:r>
        <w:rPr>
          <w:rFonts w:cs="Arial" w:ascii="Arial" w:hAnsi="Arial"/>
          <w:sz w:val="22"/>
        </w:rPr>
        <w:t>PROVÁDĚNÍ PRACÍ:</w:t>
      </w:r>
    </w:p>
    <w:p>
      <w:pPr>
        <w:pStyle w:val="Normal"/>
        <w:spacing w:before="120" w:after="0"/>
        <w:ind w:firstLine="720"/>
        <w:jc w:val="both"/>
        <w:rPr>
          <w:rFonts w:ascii="Arial" w:hAnsi="Arial" w:cs="Arial"/>
          <w:sz w:val="22"/>
        </w:rPr>
      </w:pPr>
      <w:r>
        <w:rPr>
          <w:rFonts w:cs="Arial" w:ascii="Arial" w:hAnsi="Arial"/>
          <w:sz w:val="22"/>
        </w:rPr>
        <w:t>Práce spojené s výstavbou je třeba provádět tak, aby byly splněny bezpečnostní předpisy pro provádění jednotlivých prací s důrazem na bezpečnost a ochranu zdraví jednotlivých pracovníků.</w:t>
      </w:r>
    </w:p>
    <w:p>
      <w:pPr>
        <w:pStyle w:val="Normal"/>
        <w:numPr>
          <w:ilvl w:val="0"/>
          <w:numId w:val="6"/>
        </w:numPr>
        <w:spacing w:before="240" w:after="0"/>
        <w:jc w:val="both"/>
        <w:rPr>
          <w:rFonts w:ascii="Arial" w:hAnsi="Arial" w:cs="Arial"/>
          <w:sz w:val="22"/>
          <w:u w:val="single"/>
        </w:rPr>
      </w:pPr>
      <w:r>
        <w:rPr>
          <w:rFonts w:cs="Arial" w:ascii="Arial" w:hAnsi="Arial"/>
          <w:sz w:val="22"/>
        </w:rPr>
        <w:t>UVEDENÍ DO PROVOZU</w:t>
      </w:r>
      <w:r>
        <w:rPr>
          <w:rFonts w:cs="Arial" w:ascii="Arial" w:hAnsi="Arial"/>
          <w:sz w:val="22"/>
          <w:u w:val="single"/>
        </w:rPr>
        <w:t>:</w:t>
      </w:r>
    </w:p>
    <w:p>
      <w:pPr>
        <w:pStyle w:val="Normal"/>
        <w:spacing w:before="120" w:after="0"/>
        <w:ind w:right="-52" w:firstLine="720"/>
        <w:jc w:val="both"/>
        <w:rPr>
          <w:rFonts w:ascii="Arial" w:hAnsi="Arial" w:cs="Arial"/>
          <w:sz w:val="22"/>
        </w:rPr>
      </w:pPr>
      <w:r>
        <w:rPr>
          <w:rFonts w:cs="Arial" w:ascii="Arial" w:hAnsi="Arial"/>
          <w:sz w:val="22"/>
        </w:rPr>
        <w:t>Uvedení do provozu je možné až po provedení všech tlakových a topných zkoušek vyplývajících z ČSN 060310 část 8 - Zkoušky zařízení. Pro přehled jsou uvedeny hlavní zásady prováděných zkoušek:</w:t>
      </w:r>
    </w:p>
    <w:p>
      <w:pPr>
        <w:pStyle w:val="Normal"/>
        <w:numPr>
          <w:ilvl w:val="0"/>
          <w:numId w:val="2"/>
        </w:numPr>
        <w:spacing w:before="120" w:after="0"/>
        <w:jc w:val="both"/>
        <w:rPr>
          <w:rFonts w:ascii="Arial" w:hAnsi="Arial" w:cs="Arial"/>
          <w:sz w:val="22"/>
        </w:rPr>
      </w:pPr>
      <w:r>
        <w:rPr>
          <w:rFonts w:cs="Arial" w:ascii="Arial" w:hAnsi="Arial"/>
          <w:sz w:val="22"/>
        </w:rPr>
        <w:t>Bude proveden proplach potrubí. Propláchnutí se provede po 24 hodinovém provozu oběhových čerpadel, provádí se odkalování až do úplně čistého stavu. Vyčistění a propláchnutí soustavy je součástí montáže a bude o něm proveden zápis do stavebního deníku.</w:t>
      </w:r>
    </w:p>
    <w:p>
      <w:pPr>
        <w:pStyle w:val="Normal"/>
        <w:numPr>
          <w:ilvl w:val="0"/>
          <w:numId w:val="2"/>
        </w:numPr>
        <w:spacing w:before="120" w:after="0"/>
        <w:jc w:val="both"/>
        <w:rPr>
          <w:rFonts w:ascii="Arial" w:hAnsi="Arial" w:cs="Arial"/>
          <w:sz w:val="22"/>
        </w:rPr>
      </w:pPr>
      <w:r>
        <w:rPr>
          <w:rFonts w:cs="Arial" w:ascii="Arial" w:hAnsi="Arial"/>
          <w:sz w:val="22"/>
        </w:rPr>
        <w:t>Zkouška těsnosti se provádí na nejvyšší dovolený přetlak v soustavě tj. na 300 kPa. V zařízení se udržuje určený přetlak po dobu 6 hodin. Zkouška se považuje za úspěšnou, jestliže se při této zkoušce neobjeví žádné netěsnosti na celé otopné soustavě. V daném případě otopné soustavy je možné provádět tlakové zkoušky po dílčích úsecích otopné soustavy. Na závěr však musí být provedena celková tlaková zkouška. Tlaková zkouška se provádí za přítomnosti investora a musí o ní být proveden zápis.</w:t>
      </w:r>
    </w:p>
    <w:p>
      <w:pPr>
        <w:pStyle w:val="Normal"/>
        <w:numPr>
          <w:ilvl w:val="0"/>
          <w:numId w:val="2"/>
        </w:numPr>
        <w:spacing w:before="120" w:after="0"/>
        <w:jc w:val="both"/>
        <w:rPr>
          <w:rFonts w:ascii="Arial" w:hAnsi="Arial" w:cs="Arial"/>
          <w:sz w:val="22"/>
        </w:rPr>
      </w:pPr>
      <w:r>
        <w:rPr>
          <w:rFonts w:cs="Arial" w:ascii="Arial" w:hAnsi="Arial"/>
          <w:sz w:val="22"/>
        </w:rPr>
        <w:t>Dilatační zkoušky – na základě dohody může být od daných zkoušek upuštěno za předpokladu, že budou provedeny všechny tlakové zkoušky dle požadavku ČSN 060310. Od zkoušky může být upuštěno na základě dohody mezi dodavatelem a odběratelem. (problém je vyvolán technologickým postupem výstavby – v době provádění dilatačních zkoušek musí být k dispozici funkční zdroj tepla – kotelna uvedená do provozu).</w:t>
      </w:r>
    </w:p>
    <w:p>
      <w:pPr>
        <w:pStyle w:val="Normal"/>
        <w:numPr>
          <w:ilvl w:val="0"/>
          <w:numId w:val="2"/>
        </w:numPr>
        <w:spacing w:before="120" w:after="240"/>
        <w:jc w:val="both"/>
        <w:rPr>
          <w:rFonts w:ascii="Arial" w:hAnsi="Arial" w:cs="Arial"/>
          <w:sz w:val="22"/>
        </w:rPr>
      </w:pPr>
      <w:r>
        <w:rPr>
          <w:rFonts w:cs="Arial" w:ascii="Arial" w:hAnsi="Arial"/>
          <w:sz w:val="22"/>
        </w:rPr>
        <w:t xml:space="preserve"> </w:t>
      </w:r>
      <w:r>
        <w:rPr>
          <w:rFonts w:cs="Arial" w:ascii="Arial" w:hAnsi="Arial"/>
          <w:sz w:val="22"/>
        </w:rPr>
        <w:t>Topná zkouška bude v daném případě probíhat po dobu 24 hodin dle požadavku ČSN 060310. Na celé otopné soustavě se kontroluje funkčnost otopné soustavy, zdroje, nastavení armatur, oběhových čerpadel, provádí se zaškolení obsluhy, atd. topnou zkoušku je možno provádět i mimo topnou sezónu.</w:t>
      </w:r>
    </w:p>
    <w:p>
      <w:pPr>
        <w:pStyle w:val="Normal"/>
        <w:numPr>
          <w:ilvl w:val="0"/>
          <w:numId w:val="2"/>
        </w:numPr>
        <w:spacing w:before="120" w:after="240"/>
        <w:jc w:val="both"/>
        <w:rPr>
          <w:rFonts w:ascii="Arial" w:hAnsi="Arial" w:cs="Arial"/>
          <w:sz w:val="22"/>
        </w:rPr>
      </w:pPr>
      <w:r>
        <w:rPr>
          <w:rFonts w:cs="Arial" w:ascii="Arial" w:hAnsi="Arial"/>
          <w:sz w:val="22"/>
        </w:rPr>
        <w:t>V souladu s vyhláškou č. 193/2007 Sb., §7, odst. 6 bude soustava zaregulována a seřízeny průtoky včetně vystavení protokolu o měření a nastavení průtoků.</w:t>
      </w:r>
    </w:p>
    <w:p>
      <w:pPr>
        <w:pStyle w:val="Normal"/>
        <w:numPr>
          <w:ilvl w:val="0"/>
          <w:numId w:val="2"/>
        </w:numPr>
        <w:spacing w:before="120" w:after="240"/>
        <w:jc w:val="both"/>
        <w:rPr>
          <w:rFonts w:ascii="Arial" w:hAnsi="Arial" w:cs="Arial"/>
          <w:sz w:val="22"/>
        </w:rPr>
      </w:pPr>
      <w:r>
        <w:rPr>
          <w:rFonts w:cs="Arial" w:ascii="Arial" w:hAnsi="Arial"/>
          <w:sz w:val="22"/>
        </w:rPr>
        <w:t>Na stupnici manometru je třeba vyznačit jednotlivé tlaky v otopné soustavě.</w:t>
      </w:r>
    </w:p>
    <w:p>
      <w:pPr>
        <w:pStyle w:val="Normal"/>
        <w:ind w:left="885" w:hanging="0"/>
        <w:jc w:val="both"/>
        <w:rPr>
          <w:rFonts w:ascii="Arial" w:hAnsi="Arial" w:cs="Arial"/>
          <w:sz w:val="22"/>
        </w:rPr>
      </w:pPr>
      <w:r>
        <w:rPr>
          <w:rFonts w:cs="Arial" w:ascii="Arial" w:hAnsi="Arial"/>
          <w:sz w:val="22"/>
        </w:rPr>
        <w:t>Nejnižší dovolený přetlak</w:t>
        <w:tab/>
        <w:tab/>
        <w:tab/>
        <w:tab/>
        <w:t>65</w:t>
        <w:tab/>
        <w:t>kPa</w:t>
      </w:r>
    </w:p>
    <w:p>
      <w:pPr>
        <w:pStyle w:val="Normal"/>
        <w:ind w:left="885" w:hanging="0"/>
        <w:jc w:val="both"/>
        <w:rPr>
          <w:rFonts w:ascii="Arial" w:hAnsi="Arial" w:cs="Arial"/>
          <w:sz w:val="22"/>
        </w:rPr>
      </w:pPr>
      <w:r>
        <w:rPr>
          <w:rFonts w:cs="Arial" w:ascii="Arial" w:hAnsi="Arial"/>
          <w:sz w:val="22"/>
        </w:rPr>
        <w:t>Nejnižší provozní přetlak</w:t>
        <w:tab/>
        <w:tab/>
        <w:tab/>
        <w:tab/>
        <w:t>100</w:t>
        <w:tab/>
        <w:t>kPa</w:t>
      </w:r>
    </w:p>
    <w:p>
      <w:pPr>
        <w:pStyle w:val="Normal"/>
        <w:ind w:left="885" w:hanging="0"/>
        <w:jc w:val="both"/>
        <w:rPr>
          <w:rFonts w:ascii="Arial" w:hAnsi="Arial" w:cs="Arial"/>
          <w:sz w:val="22"/>
        </w:rPr>
      </w:pPr>
      <w:r>
        <w:rPr>
          <w:rFonts w:cs="Arial" w:ascii="Arial" w:hAnsi="Arial"/>
          <w:sz w:val="22"/>
        </w:rPr>
        <w:t>Provozní přetlak</w:t>
        <w:tab/>
        <w:tab/>
        <w:tab/>
        <w:tab/>
        <w:tab/>
        <w:t>128</w:t>
        <w:tab/>
        <w:t>kPa</w:t>
      </w:r>
    </w:p>
    <w:p>
      <w:pPr>
        <w:pStyle w:val="Normal"/>
        <w:ind w:left="885" w:hanging="0"/>
        <w:jc w:val="both"/>
        <w:rPr>
          <w:rFonts w:ascii="Arial" w:hAnsi="Arial" w:cs="Arial"/>
          <w:sz w:val="22"/>
        </w:rPr>
      </w:pPr>
      <w:r>
        <w:rPr>
          <w:rFonts w:cs="Arial" w:ascii="Arial" w:hAnsi="Arial"/>
          <w:sz w:val="22"/>
        </w:rPr>
        <w:t>Maximální provozní přetlak</w:t>
        <w:tab/>
        <w:tab/>
        <w:tab/>
        <w:tab/>
        <w:t>155</w:t>
        <w:tab/>
        <w:t>kPa</w:t>
      </w:r>
    </w:p>
    <w:p>
      <w:pPr>
        <w:pStyle w:val="Normal"/>
        <w:ind w:left="885" w:hanging="0"/>
        <w:jc w:val="both"/>
        <w:rPr>
          <w:rFonts w:ascii="Arial" w:hAnsi="Arial" w:cs="Arial"/>
          <w:sz w:val="22"/>
        </w:rPr>
      </w:pPr>
      <w:r>
        <w:rPr>
          <w:rFonts w:cs="Arial" w:ascii="Arial" w:hAnsi="Arial"/>
          <w:sz w:val="22"/>
        </w:rPr>
        <w:t>Otevírací přetlak pojistného ventilu</w:t>
        <w:tab/>
        <w:tab/>
        <w:tab/>
        <w:t>250</w:t>
        <w:tab/>
        <w:t>kPa</w:t>
      </w:r>
    </w:p>
    <w:p>
      <w:pPr>
        <w:pStyle w:val="Normal"/>
        <w:spacing w:before="0" w:after="240"/>
        <w:ind w:left="885" w:hanging="0"/>
        <w:jc w:val="both"/>
        <w:rPr>
          <w:rFonts w:ascii="Arial" w:hAnsi="Arial" w:cs="Arial"/>
          <w:sz w:val="22"/>
        </w:rPr>
      </w:pPr>
      <w:r>
        <w:rPr>
          <w:rFonts w:cs="Arial" w:ascii="Arial" w:hAnsi="Arial"/>
          <w:sz w:val="22"/>
        </w:rPr>
        <w:t>Konstrukční přetlak</w:t>
        <w:tab/>
        <w:tab/>
        <w:tab/>
        <w:tab/>
        <w:tab/>
        <w:t>300</w:t>
        <w:tab/>
        <w:t>kPa</w:t>
      </w:r>
    </w:p>
    <w:p>
      <w:pPr>
        <w:pStyle w:val="Normal"/>
        <w:spacing w:before="240" w:after="0"/>
        <w:ind w:left="885" w:hanging="0"/>
        <w:jc w:val="both"/>
        <w:rPr>
          <w:rFonts w:ascii="Arial" w:hAnsi="Arial" w:cs="Arial"/>
          <w:sz w:val="22"/>
        </w:rPr>
      </w:pPr>
      <w:r>
        <w:rPr>
          <w:rFonts w:cs="Arial" w:ascii="Arial" w:hAnsi="Arial"/>
          <w:sz w:val="22"/>
        </w:rPr>
      </w:r>
    </w:p>
    <w:p>
      <w:pPr>
        <w:pStyle w:val="Normal"/>
        <w:rPr>
          <w:rFonts w:ascii="Arial" w:hAnsi="Arial" w:cs="Arial"/>
          <w:sz w:val="22"/>
        </w:rPr>
      </w:pPr>
      <w:r>
        <w:rPr>
          <w:rFonts w:cs="Arial" w:ascii="Arial" w:hAnsi="Arial"/>
          <w:sz w:val="22"/>
        </w:rPr>
        <w:t xml:space="preserve">V Hradci Králové dne </w:t>
      </w:r>
      <w:r>
        <w:rPr>
          <w:rFonts w:cs="Arial" w:ascii="Arial" w:hAnsi="Arial"/>
          <w:sz w:val="22"/>
        </w:rPr>
        <w:t>09.10.2022</w:t>
      </w:r>
    </w:p>
    <w:sectPr>
      <w:headerReference w:type="default" r:id="rId2"/>
      <w:type w:val="nextPage"/>
      <w:pgSz w:w="11906" w:h="16838"/>
      <w:pgMar w:left="1134" w:right="1133" w:gutter="0" w:header="708" w:top="1440" w:footer="0" w:bottom="144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swiss"/>
    <w:pitch w:val="variable"/>
  </w:font>
  <w:font w:name="Courier New">
    <w:charset w:val="ee"/>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adpis3"/>
      <w:rPr>
        <w:b/>
        <w:b/>
        <w:sz w:val="18"/>
      </w:rPr>
    </w:pPr>
    <w:r>
      <w:rPr>
        <w:b/>
        <w:sz w:val="18"/>
      </w:rPr>
      <w:t>Profese:</w:t>
      <w:tab/>
      <w:t>ÚSTŘEDNÍ VYTÁPĚNÍ</w:t>
      <w:tab/>
      <w:tab/>
      <w:tab/>
      <w:tab/>
      <w:tab/>
      <w:tab/>
      <w:tab/>
      <w:t>ING. JIŘÍ SAMEC</w:t>
    </w:r>
  </w:p>
  <w:p>
    <w:pPr>
      <w:pStyle w:val="Normal"/>
      <w:rPr>
        <w:rFonts w:ascii="Arial" w:hAnsi="Arial"/>
        <w:sz w:val="18"/>
      </w:rPr>
    </w:pPr>
    <w:r>
      <w:rPr>
        <w:rFonts w:ascii="Arial" w:hAnsi="Arial"/>
        <w:sz w:val="18"/>
      </w:rPr>
      <w:t>Akce:</w:t>
      <w:tab/>
      <w:tab/>
      <w:t>SOCIÁLNÍ REHABILITACE PROKOPA HOLÉHO 221, HRADEC KRÁLOVÉ</w:t>
    </w:r>
  </w:p>
  <w:p>
    <w:pPr>
      <w:pStyle w:val="Normal"/>
      <w:rPr/>
    </w:pPr>
    <w:r>
      <w:rPr>
        <w:rFonts w:ascii="Arial" w:hAnsi="Arial"/>
        <w:sz w:val="18"/>
      </w:rPr>
      <w:t>Stupeň:</w:t>
      <w:tab/>
      <w:tab/>
      <w:t>PROJEKT PRO PROVEDENÍ STAVBY</w:t>
      <w:tab/>
      <w:tab/>
      <w:tab/>
      <w:tab/>
      <w:tab/>
    </w:r>
    <w:r>
      <w:rPr>
        <w:rFonts w:cs="Arial" w:ascii="Arial" w:hAnsi="Arial"/>
        <w:sz w:val="18"/>
      </w:rPr>
      <w:t xml:space="preserve">Strana </w:t>
    </w:r>
    <w:r>
      <w:rPr>
        <w:rFonts w:cs="Arial" w:ascii="Arial" w:hAnsi="Arial"/>
        <w:sz w:val="18"/>
      </w:rPr>
      <w:fldChar w:fldCharType="begin"/>
    </w:r>
    <w:r>
      <w:rPr>
        <w:sz w:val="18"/>
        <w:rFonts w:cs="Arial" w:ascii="Arial" w:hAnsi="Arial"/>
      </w:rPr>
      <w:instrText xml:space="preserve"> PAGE </w:instrText>
    </w:r>
    <w:r>
      <w:rPr>
        <w:sz w:val="18"/>
        <w:rFonts w:cs="Arial" w:ascii="Arial" w:hAnsi="Arial"/>
      </w:rPr>
      <w:fldChar w:fldCharType="separate"/>
    </w:r>
    <w:r>
      <w:rPr>
        <w:sz w:val="18"/>
        <w:rFonts w:cs="Arial" w:ascii="Arial" w:hAnsi="Arial"/>
      </w:rPr>
      <w:t>4</w:t>
    </w:r>
    <w:r>
      <w:rPr>
        <w:sz w:val="18"/>
        <w:rFonts w:cs="Arial" w:ascii="Arial" w:hAnsi="Arial"/>
      </w:rPr>
      <w:fldChar w:fldCharType="end"/>
    </w:r>
    <w:r>
      <w:rPr>
        <w:rFonts w:cs="Arial" w:ascii="Arial" w:hAnsi="Arial"/>
        <w:sz w:val="18"/>
      </w:rPr>
      <w:t xml:space="preserve"> (celkem </w:t>
    </w:r>
    <w:r>
      <w:rPr>
        <w:rFonts w:cs="Arial" w:ascii="Arial" w:hAnsi="Arial"/>
        <w:sz w:val="18"/>
      </w:rPr>
      <w:fldChar w:fldCharType="begin"/>
    </w:r>
    <w:r>
      <w:rPr>
        <w:sz w:val="18"/>
        <w:rFonts w:cs="Arial" w:ascii="Arial" w:hAnsi="Arial"/>
      </w:rPr>
      <w:instrText xml:space="preserve"> NUMPAGES </w:instrText>
    </w:r>
    <w:r>
      <w:rPr>
        <w:sz w:val="18"/>
        <w:rFonts w:cs="Arial" w:ascii="Arial" w:hAnsi="Arial"/>
      </w:rPr>
      <w:fldChar w:fldCharType="separate"/>
    </w:r>
    <w:r>
      <w:rPr>
        <w:sz w:val="18"/>
        <w:rFonts w:cs="Arial" w:ascii="Arial" w:hAnsi="Arial"/>
      </w:rPr>
      <w:t>4</w:t>
    </w:r>
    <w:r>
      <w:rPr>
        <w:sz w:val="18"/>
        <w:rFonts w:cs="Arial" w:ascii="Arial" w:hAnsi="Arial"/>
      </w:rPr>
      <w:fldChar w:fldCharType="end"/>
    </w:r>
    <w:r>
      <w:rPr>
        <w:rFonts w:cs="Arial" w:ascii="Arial" w:hAnsi="Arial"/>
        <w:sz w:val="18"/>
      </w:rPr>
      <w:t>)</w:t>
    </w:r>
    <w:r>
      <w:rPr>
        <w:rFonts w:ascii="Arial" w:hAnsi="Arial"/>
      </w:rPr>
      <w:t xml:space="preserve">         </w:t>
    </w:r>
  </w:p>
  <w:p>
    <w:pPr>
      <w:pStyle w:val="Normal"/>
      <w:rPr/>
    </w:pPr>
    <w:r>
      <w:rPr/>
      <w:t xml:space="preserve">_______________________________________________________________________________________________     </w:t>
    </w:r>
  </w:p>
  <w:p>
    <w:pPr>
      <w:pStyle w:val="Normal"/>
      <w:rPr/>
    </w:pPr>
    <w:r>
      <w:rPr/>
      <w:t xml:space="preserve">                                           </w:t>
    </w:r>
    <w:r>
      <w:rPr>
        <w:rFonts w:ascii="Arial" w:hAnsi="Arial"/>
        <w:sz w:val="24"/>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862"/>
        </w:tabs>
        <w:ind w:left="862" w:hanging="360"/>
      </w:pPr>
      <w:rPr/>
    </w:lvl>
    <w:lvl w:ilvl="1">
      <w:start w:val="1"/>
      <w:numFmt w:val="lowerLetter"/>
      <w:lvlText w:val="%2."/>
      <w:lvlJc w:val="left"/>
      <w:pPr>
        <w:tabs>
          <w:tab w:val="num" w:pos="1800"/>
        </w:tabs>
        <w:ind w:left="1800" w:hanging="360"/>
      </w:pPr>
      <w:rPr/>
    </w:lvl>
    <w:lvl w:ilvl="2">
      <w:start w:val="1"/>
      <w:numFmt w:val="lowerRoman"/>
      <w:lvlText w:val="%3."/>
      <w:lvlJc w:val="right"/>
      <w:pPr>
        <w:tabs>
          <w:tab w:val="num" w:pos="2520"/>
        </w:tabs>
        <w:ind w:left="2520" w:hanging="180"/>
      </w:pPr>
      <w:rPr/>
    </w:lvl>
    <w:lvl w:ilvl="3">
      <w:start w:val="1"/>
      <w:numFmt w:val="decimal"/>
      <w:lvlText w:val="%4."/>
      <w:lvlJc w:val="left"/>
      <w:pPr>
        <w:tabs>
          <w:tab w:val="num" w:pos="3240"/>
        </w:tabs>
        <w:ind w:left="3240" w:hanging="360"/>
      </w:pPr>
      <w:rPr/>
    </w:lvl>
    <w:lvl w:ilvl="4">
      <w:start w:val="1"/>
      <w:numFmt w:val="lowerLetter"/>
      <w:lvlText w:val="%5."/>
      <w:lvlJc w:val="left"/>
      <w:pPr>
        <w:tabs>
          <w:tab w:val="num" w:pos="3960"/>
        </w:tabs>
        <w:ind w:left="3960" w:hanging="360"/>
      </w:pPr>
      <w:rPr/>
    </w:lvl>
    <w:lvl w:ilvl="5">
      <w:start w:val="1"/>
      <w:numFmt w:val="lowerRoman"/>
      <w:lvlText w:val="%6."/>
      <w:lvlJc w:val="right"/>
      <w:pPr>
        <w:tabs>
          <w:tab w:val="num" w:pos="4680"/>
        </w:tabs>
        <w:ind w:left="4680" w:hanging="180"/>
      </w:pPr>
      <w:rPr/>
    </w:lvl>
    <w:lvl w:ilvl="6">
      <w:start w:val="1"/>
      <w:numFmt w:val="decimal"/>
      <w:lvlText w:val="%7."/>
      <w:lvlJc w:val="left"/>
      <w:pPr>
        <w:tabs>
          <w:tab w:val="num" w:pos="5400"/>
        </w:tabs>
        <w:ind w:left="5400" w:hanging="360"/>
      </w:pPr>
      <w:rPr/>
    </w:lvl>
    <w:lvl w:ilvl="7">
      <w:start w:val="1"/>
      <w:numFmt w:val="lowerLetter"/>
      <w:lvlText w:val="%8."/>
      <w:lvlJc w:val="left"/>
      <w:pPr>
        <w:tabs>
          <w:tab w:val="num" w:pos="6120"/>
        </w:tabs>
        <w:ind w:left="6120" w:hanging="360"/>
      </w:pPr>
      <w:rPr/>
    </w:lvl>
    <w:lvl w:ilvl="8">
      <w:start w:val="1"/>
      <w:numFmt w:val="lowerRoman"/>
      <w:lvlText w:val="%9."/>
      <w:lvlJc w:val="right"/>
      <w:pPr>
        <w:tabs>
          <w:tab w:val="num" w:pos="6840"/>
        </w:tabs>
        <w:ind w:left="6840" w:hanging="180"/>
      </w:pPr>
      <w:rPr/>
    </w:lvl>
  </w:abstractNum>
  <w:abstractNum w:abstractNumId="2">
    <w:lvl w:ilvl="0">
      <w:start w:val="1"/>
      <w:numFmt w:val="decimal"/>
      <w:lvlText w:val="%1."/>
      <w:lvlJc w:val="left"/>
      <w:pPr>
        <w:tabs>
          <w:tab w:val="num" w:pos="885"/>
        </w:tabs>
        <w:ind w:left="885" w:hanging="525"/>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2"/>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embedSystemFonts/>
  <w:defaultTabStop w:val="720"/>
  <w:autoHyphenation w:val="true"/>
  <w:doNotHyphenateCaps/>
  <w:hyphenationZone w:val="425"/>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3">
    <w:name w:val="Heading 3"/>
    <w:basedOn w:val="Normal"/>
    <w:next w:val="Normal"/>
    <w:qFormat/>
    <w:pPr>
      <w:keepNext w:val="true"/>
      <w:outlineLvl w:val="2"/>
    </w:pPr>
    <w:rPr>
      <w:rFonts w:ascii="Arial" w:hAnsi="Arial"/>
      <w:sz w:val="24"/>
      <w:szCs w:val="24"/>
    </w:rPr>
  </w:style>
  <w:style w:type="character" w:styleId="DefaultParagraphFont" w:default="1">
    <w:name w:val="Default Paragraph Font"/>
    <w:uiPriority w:val="1"/>
    <w:semiHidden/>
    <w:unhideWhenUsed/>
    <w:qFormat/>
    <w:rPr/>
  </w:style>
  <w:style w:type="paragraph" w:styleId="Nadpis">
    <w:name w:val="Nadpis"/>
    <w:basedOn w:val="Normal"/>
    <w:next w:val="Tlotextu"/>
    <w:qFormat/>
    <w:pPr>
      <w:keepNext w:val="true"/>
      <w:spacing w:before="240" w:after="120"/>
    </w:pPr>
    <w:rPr>
      <w:rFonts w:ascii="Liberation Sans" w:hAnsi="Liberation Sans" w:eastAsia="Microsoft YaHei" w:cs="Arial"/>
      <w:sz w:val="28"/>
      <w:szCs w:val="28"/>
    </w:rPr>
  </w:style>
  <w:style w:type="paragraph" w:styleId="Tlotextu">
    <w:name w:val="Body Text"/>
    <w:basedOn w:val="Normal"/>
    <w:pPr>
      <w:spacing w:before="120" w:after="0"/>
      <w:jc w:val="both"/>
    </w:pPr>
    <w:rPr>
      <w:rFonts w:ascii="Arial" w:hAnsi="Arial"/>
      <w:sz w:val="24"/>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lang w:val="zxx" w:eastAsia="zxx" w:bidi="zxx"/>
    </w:rPr>
  </w:style>
  <w:style w:type="paragraph" w:styleId="Zhlavazpat">
    <w:name w:val="Záhlaví a zápatí"/>
    <w:basedOn w:val="Normal"/>
    <w:qFormat/>
    <w:pPr/>
    <w:rPr/>
  </w:style>
  <w:style w:type="paragraph" w:styleId="Zhlav">
    <w:name w:val="Header"/>
    <w:basedOn w:val="Normal"/>
    <w:pPr>
      <w:tabs>
        <w:tab w:val="clear" w:pos="720"/>
        <w:tab w:val="center" w:pos="4536" w:leader="none"/>
        <w:tab w:val="right" w:pos="9072" w:leader="none"/>
      </w:tabs>
    </w:pPr>
    <w:rPr/>
  </w:style>
  <w:style w:type="paragraph" w:styleId="Zpat">
    <w:name w:val="Footer"/>
    <w:basedOn w:val="Normal"/>
    <w:pPr>
      <w:tabs>
        <w:tab w:val="clear" w:pos="720"/>
        <w:tab w:val="center" w:pos="4536" w:leader="none"/>
        <w:tab w:val="right" w:pos="9072" w:leader="none"/>
      </w:tabs>
    </w:pPr>
    <w:rPr/>
  </w:style>
  <w:style w:type="paragraph" w:styleId="BodyText2">
    <w:name w:val="Body Text 2"/>
    <w:basedOn w:val="Normal"/>
    <w:qFormat/>
    <w:rsid w:val="004722d5"/>
    <w:pPr>
      <w:spacing w:lineRule="auto" w:line="480" w:before="0" w:after="120"/>
    </w:pPr>
    <w:rPr/>
  </w:style>
  <w:style w:type="paragraph" w:styleId="Odsazentlatextu">
    <w:name w:val="Body Text Indent"/>
    <w:basedOn w:val="Normal"/>
    <w:rsid w:val="004722d5"/>
    <w:pPr>
      <w:spacing w:before="0" w:after="120"/>
      <w:ind w:left="283" w:hanging="0"/>
    </w:pPr>
    <w:rPr/>
  </w:style>
  <w:style w:type="paragraph" w:styleId="Import0" w:customStyle="1">
    <w:name w:val="Import 0"/>
    <w:basedOn w:val="Normal"/>
    <w:qFormat/>
    <w:rsid w:val="004722d5"/>
    <w:pPr>
      <w:widowControl w:val="false"/>
      <w:spacing w:lineRule="auto" w:line="288"/>
    </w:pPr>
    <w:rPr>
      <w:rFonts w:ascii="Courier New" w:hAnsi="Courier New"/>
      <w:sz w:val="24"/>
    </w:rPr>
  </w:style>
  <w:style w:type="paragraph" w:styleId="Import1" w:customStyle="1">
    <w:name w:val="Import 1"/>
    <w:basedOn w:val="Import0"/>
    <w:qFormat/>
    <w:rsid w:val="004722d5"/>
    <w:pPr>
      <w:tabs>
        <w:tab w:val="left" w:pos="720" w:leader="none"/>
        <w:tab w:val="left" w:pos="1584" w:leader="none"/>
        <w:tab w:val="left" w:pos="2448" w:leader="none"/>
        <w:tab w:val="left" w:pos="3312" w:leader="none"/>
        <w:tab w:val="left" w:pos="4176" w:leader="none"/>
        <w:tab w:val="left" w:pos="5040" w:leader="none"/>
        <w:tab w:val="left" w:pos="5904" w:leader="none"/>
        <w:tab w:val="left" w:pos="6768" w:leader="none"/>
        <w:tab w:val="left" w:pos="7632" w:leader="none"/>
        <w:tab w:val="left" w:pos="8496" w:leader="none"/>
        <w:tab w:val="left" w:pos="9360" w:leader="none"/>
        <w:tab w:val="left" w:pos="10224" w:leader="none"/>
        <w:tab w:val="left" w:pos="11088" w:leader="none"/>
        <w:tab w:val="left" w:pos="11952" w:leader="none"/>
        <w:tab w:val="left" w:pos="12816" w:leader="none"/>
        <w:tab w:val="left" w:pos="13680" w:leader="none"/>
        <w:tab w:val="left" w:pos="14544" w:leader="none"/>
        <w:tab w:val="left" w:pos="15408" w:leader="none"/>
        <w:tab w:val="left" w:pos="16272" w:leader="none"/>
        <w:tab w:val="left" w:pos="17136" w:leader="none"/>
        <w:tab w:val="left" w:pos="18000" w:leader="none"/>
        <w:tab w:val="left" w:pos="18864" w:leader="none"/>
      </w:tabs>
      <w:spacing w:lineRule="auto" w:line="218"/>
    </w:pPr>
    <w:rPr/>
  </w:style>
  <w:style w:type="numbering" w:styleId="NoList" w:default="1">
    <w:name w:val="No List"/>
    <w:uiPriority w:val="99"/>
    <w:semiHidden/>
    <w:unhideWhenUsed/>
    <w:qFormat/>
  </w:style>
  <w:style w:type="table" w:default="1" w:styleId="Normlntabul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6FBB1-50EB-47FF-B69D-3BE6F8AA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LibreOffice/7.4.2.3$Windows_X86_64 LibreOffice_project/382eef1f22670f7f4118c8c2dd222ec7ad009daf</Application>
  <AppVersion>15.0000</AppVersion>
  <Pages>4</Pages>
  <Words>1039</Words>
  <Characters>6014</Characters>
  <CharactersWithSpaces>7070</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2022-10-07T10:46:00Z</dcterms:created>
  <dc:creator>ing.Vacek</dc:creator>
  <dc:description>Filtr T602 id:</dc:description>
  <dc:language>cs-CZ</dc:language>
  <cp:lastModifiedBy/>
  <cp:lastPrinted>2017-10-25T10:03:00Z</cp:lastPrinted>
  <dcterms:modified xsi:type="dcterms:W3CDTF">2022-10-19T11:49:58Z</dcterms:modified>
  <cp:revision>5</cp:revision>
  <dc:subject/>
  <dc:title>Ú S T Ř E D N Í   V Y T Á P Ě N Í</dc:title>
</cp:coreProperties>
</file>

<file path=docProps/custom.xml><?xml version="1.0" encoding="utf-8"?>
<Properties xmlns="http://schemas.openxmlformats.org/officeDocument/2006/custom-properties" xmlns:vt="http://schemas.openxmlformats.org/officeDocument/2006/docPropsVTypes"/>
</file>